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E0587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3F96E61B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§ XXXV.2. СРЕДСТВА ИНФОРМАЦИИ ВОДИТЕЛЕЙ ОБ УСЛОВИЯХ ДВИЖЕНИЯ. ОГРАЖДЕНИЯ И НАПРАВЛЯЮЩИЕ УСТРОЙСТВА</w:t>
      </w:r>
    </w:p>
    <w:p w14:paraId="1B068063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Для ознакомления водителей с дорожными условиями на маршруте их следования и предписания им безопасных и соответствующих оптимальным условиям использования дороги режимов движения устанавливают дорожные и путевые знаки и производят разметку проезжей части. Перечень применяемых знаков регламентирован ГОСТ 10807 – 71 «Знаки дорожные», разработанным применительно к положениям международной конвенции.</w:t>
      </w:r>
    </w:p>
    <w:p w14:paraId="637822FD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Дорожные знаки делятся на четыре группы:</w:t>
      </w:r>
    </w:p>
    <w:p w14:paraId="12E339A0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предупреждающие</w:t>
      </w: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которые информируют водителя о приближении к опасному участку и о необходимости проезда его с повышенной внимательностью при соответствующем снижении скорости. Такими местами являются, например, пересечения с другими дорогами в одном уровне, сужения дороги, участки, где дорогу могут перебегать дети, появляются домашние и дикие животные, места камнепадов и др.;</w:t>
      </w:r>
    </w:p>
    <w:p w14:paraId="32267050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запрещающие</w:t>
      </w: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которые вводят жестко регламентированные правила движения, необходимые для безопасности или четкой организации движения (запрещение проезда, стоянки, остановки, поворота или разворота, ограничение скорости и др.);</w:t>
      </w:r>
    </w:p>
    <w:p w14:paraId="07AF87F4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предписывающие</w:t>
      </w: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которые вводят режимы движения, обязательные для всех или части участников движения (указания обязательных направлений движения, полос движения, выделяемых только для легковых автомобилей, пешеходных и велосипедных дорожек и т. д.),</w:t>
      </w:r>
    </w:p>
    <w:p w14:paraId="73FF5BC7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указательные</w:t>
      </w: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которые сообщают об особенностях дорожной обстановки или информируют о приближении к местам, где меняются дорожные условия или расположены те или иные объекты (дороги с односторонним движением, участки скоростных дорог, ответвления, ведущие в тупик, автозаправочные станции и пункты технического обслуживания, пункты питания и медицинской помощи и др.) Ряд указательных знаков связан с чисто дорожными условиями. Они информируют едущих о наименовании населенных пунктов, направлениях ответвляющихся дорог, указывают расстояния до крупных населенных пунктов. На автомобильных магистралях с высокими скоростями движения эти знаки устанавливают на специальных фермах над проезжей частью (рис. XXXV.5).</w:t>
      </w:r>
    </w:p>
    <w:p w14:paraId="2670CDB7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 конце каждого километра ставится километровый знак, указывающий расстояния до начала и конца дороги.</w:t>
      </w:r>
    </w:p>
    <w:p w14:paraId="5090B906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 точки зрения оценки проекта дороги многие из предупреждающих и запрещающих знаков являются своеобразным свидетельством допущенных при проектировании ошибочных или неудачных решений, в результате которых на дороге возникли опасные или снижающие эффективность использования автомобильного транспорта участки.</w:t>
      </w:r>
    </w:p>
    <w:p w14:paraId="5B170953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DCD8F71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lastRenderedPageBreak/>
        <w:drawing>
          <wp:inline distT="0" distB="0" distL="0" distR="0" wp14:anchorId="7282A2E6" wp14:editId="18B04818">
            <wp:extent cx="4972050" cy="2590800"/>
            <wp:effectExtent l="19050" t="0" r="0" b="0"/>
            <wp:docPr id="5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04B72B" w14:textId="7CB53F29" w:rsidR="004F6752" w:rsidRPr="004F6752" w:rsidRDefault="004F6752" w:rsidP="004F6752">
      <w:pPr>
        <w:widowControl w:val="0"/>
        <w:autoSpaceDE w:val="0"/>
        <w:autoSpaceDN w:val="0"/>
        <w:adjustRightInd w:val="0"/>
        <w:spacing w:before="240" w:after="0" w:line="285" w:lineRule="auto"/>
        <w:jc w:val="center"/>
        <w:rPr>
          <w:rFonts w:ascii="Times New Roman" w:eastAsia="Times New Roman" w:hAnsi="Times New Roman" w:cs="Times New Roman"/>
          <w:color w:val="000000"/>
          <w:spacing w:val="7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9AF223E" wp14:editId="525E0A12">
                <wp:simplePos x="0" y="0"/>
                <wp:positionH relativeFrom="page">
                  <wp:posOffset>57785</wp:posOffset>
                </wp:positionH>
                <wp:positionV relativeFrom="page">
                  <wp:posOffset>5758180</wp:posOffset>
                </wp:positionV>
                <wp:extent cx="3655695" cy="97155"/>
                <wp:effectExtent l="635" t="0" r="1270" b="2540"/>
                <wp:wrapSquare wrapText="bothSides"/>
                <wp:docPr id="996068857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5695" cy="97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C158F9" w14:textId="77777777" w:rsidR="004F6752" w:rsidRDefault="004F6752" w:rsidP="004F6752">
                            <w:pPr>
                              <w:spacing w:line="201" w:lineRule="auto"/>
                              <w:ind w:left="72"/>
                              <w:rPr>
                                <w:rFonts w:ascii="Courier New" w:hAnsi="Courier New"/>
                                <w:i/>
                                <w:color w:val="000000"/>
                                <w:w w:val="75"/>
                                <w:sz w:val="16"/>
                              </w:rPr>
                            </w:pPr>
                            <w:r>
                              <w:rPr>
                                <w:rFonts w:ascii="Courier New" w:hAnsi="Courier New"/>
                                <w:i/>
                                <w:color w:val="000000"/>
                                <w:w w:val="75"/>
                                <w:sz w:val="16"/>
                              </w:rPr>
                              <w:t>360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AF223E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4.55pt;margin-top:453.4pt;width:287.85pt;height:7.6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" filled="f" stroked="f">
                <v:textbox inset="0,0,0,0">
                  <w:txbxContent>
                    <w:p w14:paraId="6EC158F9" w14:textId="77777777" w:rsidR="004F6752" w:rsidRDefault="004F6752" w:rsidP="004F6752">
                      <w:pPr>
                        <w:spacing w:line="201" w:lineRule="auto"/>
                        <w:ind w:left="72"/>
                        <w:rPr>
                          <w:rFonts w:ascii="Courier New" w:hAnsi="Courier New"/>
                          <w:i/>
                          <w:color w:val="000000"/>
                          <w:w w:val="75"/>
                          <w:sz w:val="16"/>
                        </w:rPr>
                      </w:pPr>
                      <w:r>
                        <w:rPr>
                          <w:rFonts w:ascii="Courier New" w:hAnsi="Courier New"/>
                          <w:i/>
                          <w:color w:val="000000"/>
                          <w:w w:val="75"/>
                          <w:sz w:val="16"/>
                        </w:rPr>
                        <w:t>360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4F6752">
        <w:rPr>
          <w:rFonts w:ascii="Times New Roman" w:eastAsia="Times New Roman" w:hAnsi="Times New Roman" w:cs="Times New Roman"/>
          <w:color w:val="000000"/>
          <w:spacing w:val="7"/>
          <w:kern w:val="0"/>
          <w:sz w:val="28"/>
          <w:szCs w:val="28"/>
          <w:lang w:val="ru-RU" w:eastAsia="ru-RU"/>
          <w14:ligatures w14:val="none"/>
        </w:rPr>
        <w:t>Рис. ХХХV 5. Указательные знаки на автомобильной магистрали</w:t>
      </w:r>
    </w:p>
    <w:p w14:paraId="39F3D3A6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A0B57DA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0362A27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3DCA81FB" wp14:editId="1CE95C0B">
            <wp:extent cx="4895850" cy="2343150"/>
            <wp:effectExtent l="19050" t="0" r="0" b="0"/>
            <wp:docPr id="6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FBD97C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240" w:line="288" w:lineRule="auto"/>
        <w:jc w:val="center"/>
        <w:rPr>
          <w:rFonts w:ascii="Times New Roman" w:eastAsia="Times New Roman" w:hAnsi="Times New Roman" w:cs="Times New Roman"/>
          <w:color w:val="000000"/>
          <w:spacing w:val="11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color w:val="000000"/>
          <w:spacing w:val="11"/>
          <w:kern w:val="0"/>
          <w:sz w:val="28"/>
          <w:szCs w:val="28"/>
          <w:lang w:val="ru-RU" w:eastAsia="ru-RU"/>
          <w14:ligatures w14:val="none"/>
        </w:rPr>
        <w:t xml:space="preserve">Рис. ХХХV.6. Сигнальные столбики на бровке земляного полотна и ограждения </w:t>
      </w: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на разделительной полосе</w:t>
      </w:r>
    </w:p>
    <w:p w14:paraId="30D3302F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Места расстановки дорожных знаков должны быть предусмотрены в проекте дороги на основе анализа графиков скоростей движения или коэффициентов безопасности и пропускной способности.</w:t>
      </w:r>
    </w:p>
    <w:p w14:paraId="30EC3D89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Для правильного использования проезжей части автомобилями на ней наносят </w:t>
      </w:r>
      <w:r w:rsidRPr="004F6752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линии разметки</w:t>
      </w: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, которыми выделяют полосы движения или </w:t>
      </w: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обозначают места пешеходных переходов, посадочные площадки, зоны запрещения стоянки или остановки транспортных средств. Разметку выполняют согласно ГОСТ 13508 – 74 «Разметка дорожная».</w:t>
      </w:r>
    </w:p>
    <w:p w14:paraId="72018F07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Продольная разметка бывает прерывистой и сплошной. Сплошную разметку пересекать запрещается. Если на участке разрешается обгон с выездом на полосу встречного движения только для одного направления движения, то наносится двойная линия разметки – сплошная и прерывистая. Прерывистую линию наносят с той стороны, откуда разрешено пересечение.</w:t>
      </w:r>
    </w:p>
    <w:p w14:paraId="40D8ECB7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Для уверенного управления автомобилем водитель должен быть ориентирован в направлении дороги на достаточно большом расстоянии. Для этого в местах, где съезд с земляного полотна представлял бы существенную опасность, по бровкам дороги устанавливают сигнальные столбики (рис. XXXV.6) либо тумбы из пластмассы, бетона или дерева.</w:t>
      </w:r>
    </w:p>
    <w:p w14:paraId="5CFDF4FB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Сигнальные столбики не предназначены для задержания автомобиля и поэтому не рассчитаны на удар автомобиля. На прямых участках дорог расстояние между столбиками принимают 50 м, на кривых в зависимости от их радиусов – от 5 до 25 м.</w:t>
      </w:r>
    </w:p>
    <w:p w14:paraId="15AC2C7C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На участках дорог, где съезд с дороги может вызвать происшествия е тяжелыми последствиями или наезд автомобиля на опоры путепроводов либо мачты освещения, ставят прочные ограждения, которые могут удержать транспортные средства от выезда с дороги или падения с моста. Они бывают металлическими из полос специального проката, тросовыми или железобетонными.</w:t>
      </w:r>
    </w:p>
    <w:p w14:paraId="093348B9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Ограждения устанавливают на обочинах в 0,5 м от бровки земляного полотна на прочных опорах. Их рассчитывают на наезд грузового автомобиля под углом 20° со скоростью 50 км/ч. Ограждения должны обладать податливостью, чтобы при их деформации при наезде автомобиля в сопротивление вовлекалось несколько пролетов и гашение кинетической энергии автомобиля происходило на относительно большом пути прогиба ограждения, т. е. отрицательное ускорение при удержании автомобиля имело бы небольшую величину.</w:t>
      </w:r>
    </w:p>
    <w:p w14:paraId="0F79931D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На автомобильных магистралях с большой интенсивностью движения ограждения ставят и на разделительной полосе (см. рис. XXXIV. 1).</w:t>
      </w:r>
    </w:p>
    <w:p w14:paraId="460D71F6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CD9CD93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§ XXXV.3. ОЗЕЛЕНЕНИЕ ДОРОГ</w:t>
      </w:r>
    </w:p>
    <w:p w14:paraId="1AB046C3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Древесные и кустарниковые насаждения на дорогах могут предназначаться для технических целей (предохранение дорог от снежных заносов, создание защиты от резких порывов ветра в местах выхода дороги из зоны затишья на открытое место), а также для архитектурно-художественного оформления дороги.</w:t>
      </w:r>
    </w:p>
    <w:p w14:paraId="77976FD1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Снегозащитные насаждения представляют собой густые многорядные полосы деревьев и кустарников, которые задерживают снег, сметаемый к дороге ветром с прилегающих полей. Простейшим видом снегозащитных насаждений являются живые изгороди – густые двухрядные посадки деревьев или кустарников, за которыми отлагается снег.</w:t>
      </w:r>
    </w:p>
    <w:p w14:paraId="07A9A1FC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lastRenderedPageBreak/>
        <w:drawing>
          <wp:inline distT="0" distB="0" distL="0" distR="0" wp14:anchorId="3F7CCE04" wp14:editId="31F835E3">
            <wp:extent cx="5962650" cy="3562350"/>
            <wp:effectExtent l="19050" t="0" r="0" b="0"/>
            <wp:docPr id="7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B7FA2B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04" w:lineRule="auto"/>
        <w:jc w:val="center"/>
        <w:rPr>
          <w:rFonts w:ascii="Times New Roman" w:eastAsia="Times New Roman" w:hAnsi="Times New Roman" w:cs="Times New Roman"/>
          <w:color w:val="000000"/>
          <w:spacing w:val="7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color w:val="000000"/>
          <w:spacing w:val="7"/>
          <w:kern w:val="0"/>
          <w:sz w:val="28"/>
          <w:szCs w:val="28"/>
          <w:lang w:val="ru-RU" w:eastAsia="ru-RU"/>
          <w14:ligatures w14:val="none"/>
        </w:rPr>
        <w:t xml:space="preserve">Рис. ХХХV.7. Декоративное озеленение </w:t>
      </w:r>
    </w:p>
    <w:p w14:paraId="5A05113F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04" w:lineRule="auto"/>
        <w:jc w:val="center"/>
        <w:rPr>
          <w:rFonts w:ascii="Times New Roman" w:eastAsia="Times New Roman" w:hAnsi="Times New Roman" w:cs="Times New Roman"/>
          <w:color w:val="000000"/>
          <w:spacing w:val="7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color w:val="000000"/>
          <w:spacing w:val="7"/>
          <w:kern w:val="0"/>
          <w:sz w:val="28"/>
          <w:szCs w:val="28"/>
          <w:lang w:val="ru-RU" w:eastAsia="ru-RU"/>
          <w14:ligatures w14:val="none"/>
        </w:rPr>
        <w:t>а- декоративные группы деревьев и кустарников на полосе отвода, б -членение листвен-д</w:t>
      </w:r>
      <w:r w:rsidRPr="004F6752">
        <w:rPr>
          <w:rFonts w:ascii="Times New Roman" w:eastAsia="Times New Roman" w:hAnsi="Times New Roman" w:cs="Times New Roman"/>
          <w:color w:val="000000"/>
          <w:spacing w:val="-6"/>
          <w:kern w:val="0"/>
          <w:sz w:val="28"/>
          <w:szCs w:val="28"/>
          <w:lang w:val="ru-RU" w:eastAsia="ru-RU"/>
          <w14:ligatures w14:val="none"/>
        </w:rPr>
        <w:t xml:space="preserve">екоративными группами </w:t>
      </w:r>
      <w:r w:rsidRPr="004F6752">
        <w:rPr>
          <w:rFonts w:ascii="Times New Roman" w:eastAsia="Times New Roman" w:hAnsi="Times New Roman" w:cs="Times New Roman"/>
          <w:color w:val="000000"/>
          <w:spacing w:val="-6"/>
          <w:kern w:val="0"/>
          <w:sz w:val="28"/>
          <w:szCs w:val="28"/>
          <w:lang w:val="ru-RU" w:eastAsia="ru-RU"/>
          <w14:ligatures w14:val="none"/>
        </w:rPr>
        <w:br/>
      </w:r>
      <w:r w:rsidRPr="004F6752">
        <w:rPr>
          <w:rFonts w:ascii="Times New Roman" w:eastAsia="Times New Roman" w:hAnsi="Times New Roman" w:cs="Times New Roman"/>
          <w:color w:val="000000"/>
          <w:spacing w:val="10"/>
          <w:kern w:val="0"/>
          <w:sz w:val="28"/>
          <w:szCs w:val="28"/>
          <w:lang w:val="ru-RU" w:eastAsia="ru-RU"/>
          <w14:ligatures w14:val="none"/>
        </w:rPr>
        <w:t xml:space="preserve">1 -ряды снегозащитных насаждений или опушка леса; 2- декоративные группы разных, </w:t>
      </w:r>
      <w:r w:rsidRPr="004F6752">
        <w:rPr>
          <w:rFonts w:ascii="Times New Roman" w:eastAsia="Times New Roman" w:hAnsi="Times New Roman" w:cs="Times New Roman"/>
          <w:color w:val="000000"/>
          <w:spacing w:val="6"/>
          <w:kern w:val="0"/>
          <w:sz w:val="28"/>
          <w:szCs w:val="28"/>
          <w:lang w:val="ru-RU" w:eastAsia="ru-RU"/>
          <w14:ligatures w14:val="none"/>
        </w:rPr>
        <w:t>5 - рядовые</w:t>
      </w:r>
    </w:p>
    <w:p w14:paraId="0F737E9F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before="240" w:after="0" w:line="278" w:lineRule="auto"/>
        <w:ind w:right="108"/>
        <w:jc w:val="center"/>
        <w:rPr>
          <w:rFonts w:ascii="Times New Roman" w:eastAsia="Times New Roman" w:hAnsi="Times New Roman" w:cs="Times New Roman"/>
          <w:color w:val="000000"/>
          <w:spacing w:val="7"/>
          <w:kern w:val="0"/>
          <w:sz w:val="28"/>
          <w:szCs w:val="28"/>
          <w:lang w:val="ru-RU" w:eastAsia="ru-RU"/>
          <w14:ligatures w14:val="none"/>
        </w:rPr>
      </w:pPr>
    </w:p>
    <w:p w14:paraId="5CCD6058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1A38156A" wp14:editId="749A5613">
            <wp:extent cx="5619750" cy="3152775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5135" t="23077" r="21957" b="29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F5EDDA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lastRenderedPageBreak/>
        <w:drawing>
          <wp:inline distT="0" distB="0" distL="0" distR="0" wp14:anchorId="5FE51D8C" wp14:editId="73AB6D6E">
            <wp:extent cx="5048250" cy="3981450"/>
            <wp:effectExtent l="19050" t="0" r="0" b="0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5846" t="19231" r="22588" b="19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B2B4E3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left="142" w:right="142"/>
        <w:rPr>
          <w:rFonts w:ascii="Times New Roman" w:eastAsia="Times New Roman" w:hAnsi="Times New Roman" w:cs="Times New Roman"/>
          <w:color w:val="000000"/>
          <w:spacing w:val="8"/>
          <w:w w:val="125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color w:val="000000"/>
          <w:spacing w:val="8"/>
          <w:w w:val="125"/>
          <w:kern w:val="0"/>
          <w:sz w:val="28"/>
          <w:szCs w:val="28"/>
          <w:lang w:val="ru-RU" w:eastAsia="ru-RU"/>
          <w14:ligatures w14:val="none"/>
        </w:rPr>
        <w:t>автомобильных дорог:</w:t>
      </w:r>
    </w:p>
    <w:p w14:paraId="58D2497F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before="36" w:after="0" w:line="240" w:lineRule="auto"/>
        <w:ind w:left="72"/>
        <w:jc w:val="center"/>
        <w:rPr>
          <w:rFonts w:ascii="Times New Roman" w:eastAsia="Times New Roman" w:hAnsi="Times New Roman" w:cs="Times New Roman"/>
          <w:color w:val="000000"/>
          <w:spacing w:val="8"/>
          <w:w w:val="125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color w:val="000000"/>
          <w:spacing w:val="8"/>
          <w:kern w:val="0"/>
          <w:sz w:val="28"/>
          <w:szCs w:val="28"/>
          <w:lang w:val="ru-RU" w:eastAsia="ru-RU"/>
          <w14:ligatures w14:val="none"/>
        </w:rPr>
        <w:t xml:space="preserve">рядовых посадок хвойными: в - оживление </w:t>
      </w:r>
      <w:r w:rsidRPr="004F6752">
        <w:rPr>
          <w:rFonts w:ascii="Times New Roman" w:eastAsia="Times New Roman" w:hAnsi="Times New Roman" w:cs="Times New Roman"/>
          <w:color w:val="000000"/>
          <w:spacing w:val="8"/>
          <w:w w:val="115"/>
          <w:kern w:val="0"/>
          <w:sz w:val="28"/>
          <w:szCs w:val="28"/>
          <w:lang w:val="ru-RU" w:eastAsia="ru-RU"/>
          <w14:ligatures w14:val="none"/>
        </w:rPr>
        <w:t xml:space="preserve">вила </w:t>
      </w:r>
      <w:r w:rsidRPr="004F6752">
        <w:rPr>
          <w:rFonts w:ascii="Times New Roman" w:eastAsia="Times New Roman" w:hAnsi="Times New Roman" w:cs="Times New Roman"/>
          <w:color w:val="000000"/>
          <w:spacing w:val="8"/>
          <w:kern w:val="0"/>
          <w:sz w:val="28"/>
          <w:szCs w:val="28"/>
          <w:lang w:val="ru-RU" w:eastAsia="ru-RU"/>
          <w14:ligatures w14:val="none"/>
        </w:rPr>
        <w:t>опушки леса рядовыми посадками и</w:t>
      </w:r>
      <w:r w:rsidRPr="004F6752">
        <w:rPr>
          <w:rFonts w:ascii="Times New Roman" w:eastAsia="Times New Roman" w:hAnsi="Times New Roman" w:cs="Times New Roman"/>
          <w:color w:val="000000"/>
          <w:spacing w:val="8"/>
          <w:w w:val="125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4F6752">
        <w:rPr>
          <w:rFonts w:ascii="Times New Roman" w:eastAsia="Times New Roman" w:hAnsi="Times New Roman" w:cs="Times New Roman"/>
          <w:color w:val="000000"/>
          <w:spacing w:val="-4"/>
          <w:kern w:val="0"/>
          <w:sz w:val="28"/>
          <w:szCs w:val="28"/>
          <w:lang w:val="ru-RU" w:eastAsia="ru-RU"/>
          <w14:ligatures w14:val="none"/>
        </w:rPr>
        <w:t>на полосе отвода,</w:t>
      </w:r>
      <w:r w:rsidRPr="004F6752">
        <w:rPr>
          <w:rFonts w:ascii="Times New Roman" w:eastAsia="Times New Roman" w:hAnsi="Times New Roman" w:cs="Times New Roman"/>
          <w:color w:val="000000"/>
          <w:spacing w:val="8"/>
          <w:w w:val="125"/>
          <w:kern w:val="0"/>
          <w:sz w:val="28"/>
          <w:szCs w:val="28"/>
          <w:lang w:val="ru-RU" w:eastAsia="ru-RU"/>
          <w14:ligatures w14:val="none"/>
        </w:rPr>
        <w:t xml:space="preserve"> </w:t>
      </w:r>
      <w:r w:rsidRPr="004F6752">
        <w:rPr>
          <w:rFonts w:ascii="Times New Roman" w:eastAsia="Times New Roman" w:hAnsi="Times New Roman" w:cs="Times New Roman"/>
          <w:color w:val="000000"/>
          <w:spacing w:val="-5"/>
          <w:kern w:val="0"/>
          <w:sz w:val="28"/>
          <w:szCs w:val="28"/>
          <w:lang w:val="ru-RU" w:eastAsia="ru-RU"/>
          <w14:ligatures w14:val="none"/>
        </w:rPr>
        <w:t xml:space="preserve">деревьев; 3 - одиночные декоративные деревья и кустарники; 4 - ось автомобильной дороги, </w:t>
      </w:r>
      <w:r w:rsidRPr="004F6752">
        <w:rPr>
          <w:rFonts w:ascii="Times New Roman" w:eastAsia="Times New Roman" w:hAnsi="Times New Roman" w:cs="Times New Roman"/>
          <w:color w:val="000000"/>
          <w:spacing w:val="10"/>
          <w:kern w:val="0"/>
          <w:sz w:val="28"/>
          <w:szCs w:val="28"/>
          <w:lang w:val="ru-RU" w:eastAsia="ru-RU"/>
          <w14:ligatures w14:val="none"/>
        </w:rPr>
        <w:t>посадки.</w:t>
      </w:r>
    </w:p>
    <w:p w14:paraId="165A6FAC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before="36" w:after="0" w:line="240" w:lineRule="auto"/>
        <w:ind w:left="72"/>
        <w:jc w:val="center"/>
        <w:rPr>
          <w:rFonts w:ascii="Times New Roman" w:eastAsia="Times New Roman" w:hAnsi="Times New Roman" w:cs="Times New Roman"/>
          <w:color w:val="000000"/>
          <w:spacing w:val="8"/>
          <w:w w:val="125"/>
          <w:kern w:val="0"/>
          <w:sz w:val="28"/>
          <w:szCs w:val="28"/>
          <w:lang w:val="ru-RU" w:eastAsia="ru-RU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1"/>
        <w:gridCol w:w="2302"/>
        <w:gridCol w:w="2355"/>
        <w:gridCol w:w="2337"/>
      </w:tblGrid>
      <w:tr w:rsidR="004F6752" w:rsidRPr="004F6752" w14:paraId="38EF33AC" w14:textId="77777777" w:rsidTr="00B46690">
        <w:tc>
          <w:tcPr>
            <w:tcW w:w="2392" w:type="dxa"/>
          </w:tcPr>
          <w:p w14:paraId="267AC77E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Объем приносимого за зиму снега, м³/м</w:t>
            </w:r>
          </w:p>
        </w:tc>
        <w:tc>
          <w:tcPr>
            <w:tcW w:w="2393" w:type="dxa"/>
          </w:tcPr>
          <w:p w14:paraId="4F43F47B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Число рядов в полове</w:t>
            </w:r>
          </w:p>
        </w:tc>
        <w:tc>
          <w:tcPr>
            <w:tcW w:w="2393" w:type="dxa"/>
          </w:tcPr>
          <w:p w14:paraId="7D06E600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Необходимая ширина половы земли, м</w:t>
            </w:r>
          </w:p>
        </w:tc>
        <w:tc>
          <w:tcPr>
            <w:tcW w:w="2393" w:type="dxa"/>
          </w:tcPr>
          <w:p w14:paraId="0CB28D9B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Расстояние от бровки дороги до посадок, м</w:t>
            </w:r>
          </w:p>
        </w:tc>
      </w:tr>
      <w:tr w:rsidR="004F6752" w:rsidRPr="004F6752" w14:paraId="5CE61DAF" w14:textId="77777777" w:rsidTr="00B46690">
        <w:tc>
          <w:tcPr>
            <w:tcW w:w="2392" w:type="dxa"/>
          </w:tcPr>
          <w:p w14:paraId="4B9E2872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25</w:t>
            </w:r>
          </w:p>
          <w:p w14:paraId="0D828AE3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50</w:t>
            </w:r>
          </w:p>
          <w:p w14:paraId="6416E866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75</w:t>
            </w:r>
          </w:p>
          <w:p w14:paraId="5DDE8B43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100</w:t>
            </w:r>
          </w:p>
          <w:p w14:paraId="3D916CFF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150</w:t>
            </w:r>
          </w:p>
          <w:p w14:paraId="0F0F3C72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200</w:t>
            </w:r>
          </w:p>
        </w:tc>
        <w:tc>
          <w:tcPr>
            <w:tcW w:w="2393" w:type="dxa"/>
          </w:tcPr>
          <w:p w14:paraId="568E91AB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2</w:t>
            </w:r>
          </w:p>
          <w:p w14:paraId="36772610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4</w:t>
            </w:r>
          </w:p>
          <w:p w14:paraId="13FBFE98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6</w:t>
            </w:r>
          </w:p>
          <w:p w14:paraId="4562CB56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6-8</w:t>
            </w:r>
          </w:p>
          <w:p w14:paraId="7A1F6BF8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6-8</w:t>
            </w:r>
          </w:p>
          <w:p w14:paraId="227DFF1C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8-10</w:t>
            </w:r>
          </w:p>
        </w:tc>
        <w:tc>
          <w:tcPr>
            <w:tcW w:w="2393" w:type="dxa"/>
          </w:tcPr>
          <w:p w14:paraId="56B08BF2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4</w:t>
            </w:r>
          </w:p>
          <w:p w14:paraId="4DF59449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9</w:t>
            </w:r>
          </w:p>
          <w:p w14:paraId="61469866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12</w:t>
            </w:r>
          </w:p>
          <w:p w14:paraId="6C515FC3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14</w:t>
            </w:r>
          </w:p>
          <w:p w14:paraId="08D3AC76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19</w:t>
            </w:r>
          </w:p>
          <w:p w14:paraId="3B8BDEA5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22</w:t>
            </w:r>
          </w:p>
        </w:tc>
        <w:tc>
          <w:tcPr>
            <w:tcW w:w="2393" w:type="dxa"/>
          </w:tcPr>
          <w:p w14:paraId="7FE9271F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15-25</w:t>
            </w:r>
          </w:p>
          <w:p w14:paraId="2E8EBF88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30</w:t>
            </w:r>
          </w:p>
          <w:p w14:paraId="35569435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40</w:t>
            </w:r>
          </w:p>
          <w:p w14:paraId="558079E3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50</w:t>
            </w:r>
          </w:p>
          <w:p w14:paraId="3CD0E1FE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65</w:t>
            </w:r>
          </w:p>
          <w:p w14:paraId="347A8FA9" w14:textId="77777777" w:rsidR="004F6752" w:rsidRPr="004F6752" w:rsidRDefault="004F6752" w:rsidP="004F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</w:pPr>
            <w:r w:rsidRPr="004F675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w:t>70</w:t>
            </w:r>
          </w:p>
        </w:tc>
      </w:tr>
    </w:tbl>
    <w:p w14:paraId="030DB3DF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3FBA17B3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Снегосборные лесные полосы состоят из нескольких рядов деревьев с низкой плотной кроной, окаймленных со стороны поля одним-двумя рядами плотного кустарника. При большом числе рядов в посадки вводят и высокие деревья (ель, сосну, березу, тополь). Лесная полоса создает на пути переносимого ветром снега преграду, снижающую скорость ветра, что приводит к отложению снега в лесной полосе и вблизи от нее. Количество рядов зависит от объема приносимого за зиму снега, (табл. XXXV. 1).</w:t>
      </w:r>
    </w:p>
    <w:p w14:paraId="612C15E1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Для устройства снегозащитных полос необходим дополнительный отвод, причем полоса от дороги до снегозащитных насаждений остается в </w:t>
      </w: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ведении землепользователей.</w:t>
      </w:r>
    </w:p>
    <w:p w14:paraId="73504023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Декоративные насаждения предназначаются для украшения дороги, уменьшения ее однообразности, придания ей живописности, увязки дороги с окружающей местностью. По принципам компоновки они бывают трех типов (рис. XXXV.7):</w:t>
      </w:r>
    </w:p>
    <w:p w14:paraId="68B97207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регулярного, когда деревья и кустарники располагаются параллельно бровке дороги, в строго определенном порядке, на постоянном расстоянии друг от друга. Чтобы устранить однообразие и монотонность регулярных посадок, периодически меняют виды деревьев или включают в регулярные посадки отдельные декоративные группы деревьев;</w:t>
      </w:r>
    </w:p>
    <w:p w14:paraId="2D58655D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ландшафтного, когда декоративные посадки размещают в пределах полосы отвода деревьев и кустарников в виде групп разного размера и состава, увязанных с придорожным ландшафтом, существующей растительностью и формами рельефа;</w:t>
      </w:r>
    </w:p>
    <w:p w14:paraId="33356D10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смешанного, когда на фоне регулярных рядовых посадок размещают ландшафтные группы, особенно подчеркивая ими пересечения и примыкания дорог, подходы к мостам.</w:t>
      </w:r>
    </w:p>
    <w:p w14:paraId="23A5D535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4F6752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Проекты озеленения разрабатывают с привлечением ландшафтных архитекторов-озеленителей, подбирающих для каждого участка дороги хорошо произрастающие на нем породы деревьев и кустарников.</w:t>
      </w:r>
    </w:p>
    <w:p w14:paraId="2BF1164A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AF0EC06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79B8588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45EAD10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F2225EA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C155972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A1569A5" w14:textId="77777777" w:rsidR="004F6752" w:rsidRPr="004F6752" w:rsidRDefault="004F6752" w:rsidP="004F67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ru-RU" w:eastAsia="ru-RU"/>
          <w14:ligatures w14:val="none"/>
        </w:rPr>
      </w:pPr>
    </w:p>
    <w:p w14:paraId="32DD3E60" w14:textId="77777777" w:rsidR="00AD02F2" w:rsidRPr="004F6752" w:rsidRDefault="00AD02F2">
      <w:pPr>
        <w:rPr>
          <w:lang w:val="ru-RU"/>
        </w:rPr>
      </w:pPr>
    </w:p>
    <w:sectPr w:rsidR="00AD02F2" w:rsidRPr="004F6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2F2"/>
    <w:rsid w:val="004F6752"/>
    <w:rsid w:val="00AD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1C6FAD-B5C0-4A48-A028-A100FA118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1213</Words>
  <Characters>6916</Characters>
  <Application>Microsoft Office Word</Application>
  <DocSecurity>0</DocSecurity>
  <Lines>57</Lines>
  <Paragraphs>16</Paragraphs>
  <ScaleCrop>false</ScaleCrop>
  <Company/>
  <LinksUpToDate>false</LinksUpToDate>
  <CharactersWithSpaces>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2023-09-14T16:23:00Z</dcterms:created>
  <dcterms:modified xsi:type="dcterms:W3CDTF">2023-09-14T16:23:00Z</dcterms:modified>
</cp:coreProperties>
</file>